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ind w:firstLine="0" w:firstLineChars="0"/>
        <w:jc w:val="left"/>
        <w:rPr>
          <w:rFonts w:hint="eastAsia" w:ascii="黑体" w:hAnsi="黑体" w:eastAsia="黑体" w:cs="黑体"/>
          <w:spacing w:val="-3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pacing w:val="-3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3"/>
          <w:sz w:val="31"/>
          <w:szCs w:val="31"/>
          <w:lang w:val="en-US" w:eastAsia="zh-CN"/>
        </w:rPr>
        <w:t>3</w:t>
      </w:r>
    </w:p>
    <w:p>
      <w:pPr>
        <w:pStyle w:val="2"/>
        <w:spacing w:after="156" w:afterLines="50" w:line="570" w:lineRule="exact"/>
        <w:jc w:val="center"/>
        <w:rPr>
          <w:rFonts w:ascii="方正小标宋_GBK" w:hAnsi="Times New Roman" w:eastAsia="方正小标宋_GBK" w:cs="Times New Roman"/>
          <w:snapToGrid w:val="0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snapToGrid w:val="0"/>
          <w:sz w:val="44"/>
          <w:szCs w:val="44"/>
        </w:rPr>
        <w:t>202</w:t>
      </w:r>
      <w:r>
        <w:rPr>
          <w:rFonts w:hint="eastAsia" w:ascii="方正小标宋_GBK" w:hAnsi="Times New Roman" w:eastAsia="方正小标宋_GBK" w:cs="Times New Roman"/>
          <w:snapToGrid w:val="0"/>
          <w:sz w:val="44"/>
          <w:szCs w:val="44"/>
          <w:lang w:val="en-US" w:eastAsia="zh-CN"/>
        </w:rPr>
        <w:t>5</w:t>
      </w:r>
      <w:r>
        <w:rPr>
          <w:rFonts w:hint="eastAsia" w:ascii="方正小标宋_GBK" w:hAnsi="Times New Roman" w:eastAsia="方正小标宋_GBK" w:cs="Times New Roman"/>
          <w:snapToGrid w:val="0"/>
          <w:sz w:val="44"/>
          <w:szCs w:val="44"/>
        </w:rPr>
        <w:t>年度</w:t>
      </w:r>
      <w:r>
        <w:rPr>
          <w:rFonts w:hint="eastAsia" w:ascii="方正小标宋_GBK" w:hAnsi="Times New Roman" w:eastAsia="方正小标宋_GBK" w:cs="Times New Roman"/>
          <w:snapToGrid w:val="0"/>
          <w:sz w:val="44"/>
          <w:szCs w:val="44"/>
          <w:lang w:val="en-US" w:eastAsia="zh-CN"/>
        </w:rPr>
        <w:t>苏州市民族宗教事务局</w:t>
      </w:r>
      <w:r>
        <w:rPr>
          <w:rFonts w:hint="eastAsia" w:ascii="方正小标宋_GBK" w:hAnsi="Times New Roman" w:eastAsia="方正小标宋_GBK" w:cs="Times New Roman"/>
          <w:snapToGrid w:val="0"/>
          <w:sz w:val="44"/>
          <w:szCs w:val="44"/>
        </w:rPr>
        <w:t>监管计划</w:t>
      </w:r>
    </w:p>
    <w:p>
      <w:pPr>
        <w:pStyle w:val="2"/>
        <w:spacing w:line="570" w:lineRule="exact"/>
        <w:jc w:val="both"/>
        <w:rPr>
          <w:rFonts w:ascii="Times New Roman" w:hAnsi="Times New Roman" w:eastAsia="方正黑体_GBK" w:cs="Times New Roman"/>
          <w:snapToGrid w:val="0"/>
          <w:szCs w:val="20"/>
        </w:rPr>
      </w:pPr>
      <w:r>
        <w:rPr>
          <w:rFonts w:hint="eastAsia" w:ascii="Times New Roman" w:hAnsi="Times New Roman" w:eastAsia="方正黑体_GBK" w:cs="Times New Roman"/>
          <w:snapToGrid w:val="0"/>
          <w:szCs w:val="20"/>
        </w:rPr>
        <w:t>表1：</w:t>
      </w:r>
      <w:bookmarkStart w:id="0" w:name="_GoBack"/>
      <w:bookmarkEnd w:id="0"/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567"/>
        <w:gridCol w:w="1570"/>
        <w:gridCol w:w="1570"/>
        <w:gridCol w:w="1574"/>
        <w:gridCol w:w="1571"/>
        <w:gridCol w:w="1574"/>
        <w:gridCol w:w="1574"/>
        <w:gridCol w:w="1574"/>
        <w:gridCol w:w="158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5000" w:type="pct"/>
            <w:gridSpan w:val="10"/>
            <w:vAlign w:val="center"/>
          </w:tcPr>
          <w:p>
            <w:pPr>
              <w:pStyle w:val="2"/>
              <w:spacing w:line="570" w:lineRule="exact"/>
              <w:jc w:val="center"/>
              <w:rPr>
                <w:rFonts w:ascii="Times New Roman" w:hAnsi="Times New Roman" w:eastAsia="方正黑体_GBK" w:cs="Times New Roman"/>
                <w:snapToGrid w:val="0"/>
              </w:rPr>
            </w:pPr>
            <w:r>
              <w:rPr>
                <w:rFonts w:hint="eastAsia" w:ascii="方正黑体_GBK" w:hAnsi="Times New Roman" w:eastAsia="方正黑体_GBK" w:cs="Times New Roman"/>
                <w:snapToGrid w:val="0"/>
              </w:rPr>
              <w:t>“双随机、一公开”监管计划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285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序号</w:t>
            </w:r>
          </w:p>
        </w:tc>
        <w:tc>
          <w:tcPr>
            <w:tcW w:w="522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任务名称</w:t>
            </w:r>
          </w:p>
        </w:tc>
        <w:tc>
          <w:tcPr>
            <w:tcW w:w="523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检查事项</w:t>
            </w:r>
          </w:p>
        </w:tc>
        <w:tc>
          <w:tcPr>
            <w:tcW w:w="523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检查对象</w:t>
            </w:r>
          </w:p>
        </w:tc>
        <w:tc>
          <w:tcPr>
            <w:tcW w:w="524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检查方式</w:t>
            </w:r>
          </w:p>
        </w:tc>
        <w:tc>
          <w:tcPr>
            <w:tcW w:w="523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抽取比例</w:t>
            </w:r>
          </w:p>
        </w:tc>
        <w:tc>
          <w:tcPr>
            <w:tcW w:w="524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抽取数量</w:t>
            </w:r>
          </w:p>
        </w:tc>
        <w:tc>
          <w:tcPr>
            <w:tcW w:w="524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检查频次</w:t>
            </w:r>
          </w:p>
        </w:tc>
        <w:tc>
          <w:tcPr>
            <w:tcW w:w="524" w:type="pct"/>
            <w:tcBorders>
              <w:right w:val="single" w:color="auto" w:sz="4" w:space="0"/>
            </w:tcBorders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  <w:t>检查层级</w:t>
            </w:r>
          </w:p>
        </w:tc>
        <w:tc>
          <w:tcPr>
            <w:tcW w:w="524" w:type="pct"/>
            <w:tcBorders>
              <w:left w:val="single" w:color="auto" w:sz="4" w:space="0"/>
            </w:tcBorders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8"/>
                <w:szCs w:val="28"/>
              </w:rPr>
              <w:t>责任处室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285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napToGrid w:val="0"/>
                <w:sz w:val="28"/>
                <w:szCs w:val="28"/>
              </w:rPr>
              <w:t>1</w:t>
            </w:r>
          </w:p>
        </w:tc>
        <w:tc>
          <w:tcPr>
            <w:tcW w:w="522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8"/>
                <w:szCs w:val="28"/>
              </w:rPr>
            </w:pPr>
          </w:p>
        </w:tc>
        <w:tc>
          <w:tcPr>
            <w:tcW w:w="524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8"/>
                <w:szCs w:val="28"/>
              </w:rPr>
            </w:pPr>
          </w:p>
        </w:tc>
        <w:tc>
          <w:tcPr>
            <w:tcW w:w="524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8"/>
                <w:szCs w:val="28"/>
              </w:rPr>
            </w:pPr>
          </w:p>
        </w:tc>
        <w:tc>
          <w:tcPr>
            <w:tcW w:w="524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8"/>
                <w:szCs w:val="28"/>
              </w:rPr>
            </w:pPr>
          </w:p>
        </w:tc>
        <w:tc>
          <w:tcPr>
            <w:tcW w:w="524" w:type="pct"/>
            <w:tcBorders>
              <w:right w:val="single" w:color="auto" w:sz="4" w:space="0"/>
            </w:tcBorders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8"/>
                <w:szCs w:val="28"/>
              </w:rPr>
            </w:pPr>
          </w:p>
        </w:tc>
        <w:tc>
          <w:tcPr>
            <w:tcW w:w="524" w:type="pct"/>
            <w:tcBorders>
              <w:left w:val="single" w:color="auto" w:sz="4" w:space="0"/>
            </w:tcBorders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285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hint="eastAsia" w:ascii="Times New Roman" w:hAnsi="Times New Roman" w:eastAsia="方正仿宋_GBK" w:cs="Times New Roman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22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8"/>
                <w:szCs w:val="28"/>
              </w:rPr>
            </w:pPr>
          </w:p>
        </w:tc>
        <w:tc>
          <w:tcPr>
            <w:tcW w:w="524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8"/>
                <w:szCs w:val="28"/>
              </w:rPr>
            </w:pPr>
          </w:p>
        </w:tc>
        <w:tc>
          <w:tcPr>
            <w:tcW w:w="523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8"/>
                <w:szCs w:val="28"/>
              </w:rPr>
            </w:pPr>
          </w:p>
        </w:tc>
        <w:tc>
          <w:tcPr>
            <w:tcW w:w="524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8"/>
                <w:szCs w:val="28"/>
              </w:rPr>
            </w:pPr>
          </w:p>
        </w:tc>
        <w:tc>
          <w:tcPr>
            <w:tcW w:w="524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8"/>
                <w:szCs w:val="28"/>
              </w:rPr>
            </w:pPr>
          </w:p>
        </w:tc>
        <w:tc>
          <w:tcPr>
            <w:tcW w:w="524" w:type="pct"/>
            <w:tcBorders>
              <w:right w:val="single" w:color="auto" w:sz="4" w:space="0"/>
            </w:tcBorders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8"/>
                <w:szCs w:val="28"/>
              </w:rPr>
            </w:pPr>
          </w:p>
        </w:tc>
        <w:tc>
          <w:tcPr>
            <w:tcW w:w="524" w:type="pct"/>
            <w:tcBorders>
              <w:left w:val="single" w:color="auto" w:sz="4" w:space="0"/>
            </w:tcBorders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285" w:type="pct"/>
            <w:vAlign w:val="center"/>
          </w:tcPr>
          <w:p>
            <w:pPr>
              <w:pStyle w:val="2"/>
              <w:spacing w:line="400" w:lineRule="exact"/>
              <w:jc w:val="center"/>
              <w:rPr>
                <w:rFonts w:ascii="方正仿宋_GBK" w:hAnsi="Times New Roman" w:eastAsia="方正仿宋_GBK" w:cs="Times New Roman"/>
                <w:snapToGrid w:val="0"/>
                <w:sz w:val="28"/>
                <w:szCs w:val="28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sz w:val="28"/>
                <w:szCs w:val="28"/>
              </w:rPr>
              <w:t>备注</w:t>
            </w:r>
          </w:p>
        </w:tc>
        <w:tc>
          <w:tcPr>
            <w:tcW w:w="4714" w:type="pct"/>
            <w:gridSpan w:val="9"/>
            <w:vAlign w:val="center"/>
          </w:tcPr>
          <w:p>
            <w:pPr>
              <w:pStyle w:val="2"/>
              <w:spacing w:line="400" w:lineRule="exact"/>
              <w:ind w:firstLine="105" w:firstLineChars="50"/>
              <w:jc w:val="both"/>
              <w:rPr>
                <w:rFonts w:hint="default" w:ascii="Times New Roman" w:hAnsi="Times New Roman" w:eastAsia="方正仿宋_GBK" w:cs="Times New Roman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ascii="Times New Roman" w:hAnsi="Times New Roman" w:eastAsia="方正仿宋_GBK" w:cs="Times New Roman"/>
                <w:snapToGrid w:val="0"/>
                <w:sz w:val="21"/>
                <w:szCs w:val="21"/>
              </w:rPr>
              <w:t>检查方式填写</w:t>
            </w:r>
            <w:r>
              <w:rPr>
                <w:rFonts w:hint="eastAsia" w:ascii="Times New Roman" w:hAnsi="Times New Roman" w:eastAsia="方正仿宋_GBK" w:cs="Times New Roman"/>
                <w:snapToGrid w:val="0"/>
                <w:sz w:val="21"/>
                <w:szCs w:val="21"/>
              </w:rPr>
              <w:t>现场检查、网络检查等；检查层级根据具体检查部门，填写市县、县级或市县等。</w:t>
            </w:r>
            <w:r>
              <w:rPr>
                <w:rFonts w:hint="eastAsia" w:ascii="Times New Roman" w:hAnsi="Times New Roman" w:eastAsia="方正仿宋_GBK" w:cs="Times New Roman"/>
                <w:snapToGrid w:val="0"/>
                <w:sz w:val="21"/>
                <w:szCs w:val="21"/>
                <w:lang w:val="en-US" w:eastAsia="zh-CN"/>
              </w:rPr>
              <w:t>2.规范任务名称表述，建议使用“2025年度苏州市***双随机检查任务”。3.也可以不填写。</w:t>
            </w:r>
          </w:p>
        </w:tc>
      </w:tr>
    </w:tbl>
    <w:p>
      <w:pPr>
        <w:pStyle w:val="2"/>
        <w:spacing w:line="570" w:lineRule="exact"/>
        <w:jc w:val="both"/>
        <w:rPr>
          <w:rFonts w:ascii="Times New Roman" w:hAnsi="Times New Roman" w:eastAsia="方正黑体_GBK" w:cs="Times New Roman"/>
          <w:snapToGrid w:val="0"/>
          <w:szCs w:val="20"/>
        </w:rPr>
      </w:pPr>
      <w:r>
        <w:rPr>
          <w:rFonts w:hint="eastAsia" w:ascii="Times New Roman" w:hAnsi="Times New Roman" w:eastAsia="方正黑体_GBK" w:cs="Times New Roman"/>
          <w:snapToGrid w:val="0"/>
          <w:szCs w:val="20"/>
        </w:rPr>
        <w:t>表2：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658"/>
        <w:gridCol w:w="994"/>
        <w:gridCol w:w="1129"/>
        <w:gridCol w:w="1871"/>
        <w:gridCol w:w="4315"/>
        <w:gridCol w:w="1300"/>
        <w:gridCol w:w="1147"/>
        <w:gridCol w:w="1057"/>
        <w:gridCol w:w="104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5000" w:type="pct"/>
            <w:gridSpan w:val="10"/>
            <w:vAlign w:val="center"/>
          </w:tcPr>
          <w:p>
            <w:pPr>
              <w:pStyle w:val="2"/>
              <w:spacing w:line="570" w:lineRule="exact"/>
              <w:jc w:val="center"/>
              <w:rPr>
                <w:rFonts w:ascii="方正黑体_GBK" w:hAnsi="Times New Roman" w:eastAsia="方正黑体_GBK" w:cs="Times New Roman"/>
                <w:snapToGrid w:val="0"/>
              </w:rPr>
            </w:pPr>
            <w:r>
              <w:rPr>
                <w:rFonts w:hint="eastAsia" w:ascii="方正黑体_GBK" w:hAnsi="Times New Roman" w:eastAsia="方正黑体_GBK" w:cs="Times New Roman"/>
                <w:snapToGrid w:val="0"/>
              </w:rPr>
              <w:t>跨部门联合监管计划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blHeader/>
        </w:trPr>
        <w:tc>
          <w:tcPr>
            <w:tcW w:w="165" w:type="pct"/>
            <w:vAlign w:val="center"/>
          </w:tcPr>
          <w:p>
            <w:pPr>
              <w:pStyle w:val="2"/>
              <w:spacing w:line="280" w:lineRule="exact"/>
              <w:ind w:left="-141" w:leftChars="-67" w:right="-115" w:rightChars="-55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序</w:t>
            </w:r>
          </w:p>
          <w:p>
            <w:pPr>
              <w:pStyle w:val="2"/>
              <w:spacing w:line="280" w:lineRule="exact"/>
              <w:ind w:left="-141" w:leftChars="-67" w:right="-115" w:rightChars="-55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号</w:t>
            </w:r>
          </w:p>
        </w:tc>
        <w:tc>
          <w:tcPr>
            <w:tcW w:w="552" w:type="pct"/>
            <w:vAlign w:val="center"/>
          </w:tcPr>
          <w:p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任务名称</w:t>
            </w:r>
          </w:p>
        </w:tc>
        <w:tc>
          <w:tcPr>
            <w:tcW w:w="331" w:type="pct"/>
            <w:vAlign w:val="center"/>
          </w:tcPr>
          <w:p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4"/>
                <w:szCs w:val="24"/>
              </w:rPr>
              <w:t>行业</w:t>
            </w:r>
          </w:p>
          <w:p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领域</w:t>
            </w:r>
          </w:p>
        </w:tc>
        <w:tc>
          <w:tcPr>
            <w:tcW w:w="2436" w:type="pct"/>
            <w:gridSpan w:val="3"/>
            <w:vAlign w:val="center"/>
          </w:tcPr>
          <w:p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4"/>
                <w:szCs w:val="24"/>
              </w:rPr>
              <w:t>联合检查</w:t>
            </w: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部门与检查事项</w:t>
            </w:r>
          </w:p>
        </w:tc>
        <w:tc>
          <w:tcPr>
            <w:tcW w:w="433" w:type="pct"/>
            <w:vAlign w:val="center"/>
          </w:tcPr>
          <w:p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检查对象</w:t>
            </w:r>
          </w:p>
        </w:tc>
        <w:tc>
          <w:tcPr>
            <w:tcW w:w="382" w:type="pct"/>
            <w:tcBorders>
              <w:right w:val="single" w:color="auto" w:sz="4" w:space="0"/>
            </w:tcBorders>
            <w:vAlign w:val="center"/>
          </w:tcPr>
          <w:p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检查方式</w:t>
            </w:r>
          </w:p>
        </w:tc>
        <w:tc>
          <w:tcPr>
            <w:tcW w:w="352" w:type="pct"/>
            <w:tcBorders>
              <w:left w:val="single" w:color="auto" w:sz="4" w:space="0"/>
            </w:tcBorders>
            <w:vAlign w:val="center"/>
          </w:tcPr>
          <w:p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4"/>
                <w:szCs w:val="24"/>
              </w:rPr>
              <w:t>抽取比例</w:t>
            </w:r>
          </w:p>
          <w:p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24"/>
                <w:szCs w:val="24"/>
              </w:rPr>
              <w:t>或数量</w:t>
            </w:r>
          </w:p>
        </w:tc>
        <w:tc>
          <w:tcPr>
            <w:tcW w:w="344" w:type="pct"/>
            <w:tcBorders>
              <w:right w:val="single" w:color="auto" w:sz="4" w:space="0"/>
            </w:tcBorders>
            <w:vAlign w:val="center"/>
          </w:tcPr>
          <w:p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检查</w:t>
            </w:r>
          </w:p>
          <w:p>
            <w:pPr>
              <w:pStyle w:val="2"/>
              <w:spacing w:line="280" w:lineRule="exact"/>
              <w:ind w:left="-120" w:leftChars="-57" w:right="-113" w:rightChars="-54"/>
              <w:jc w:val="center"/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24"/>
                <w:szCs w:val="24"/>
              </w:rPr>
              <w:t>层级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65" w:type="pct"/>
            <w:vMerge w:val="restart"/>
            <w:vAlign w:val="center"/>
          </w:tcPr>
          <w:p>
            <w:pPr>
              <w:pStyle w:val="2"/>
              <w:spacing w:line="28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1"/>
                <w:szCs w:val="21"/>
              </w:rPr>
            </w:pPr>
            <w:r>
              <w:rPr>
                <w:rFonts w:ascii="Times New Roman" w:hAnsi="Times New Roman" w:eastAsia="方正仿宋_GBK" w:cs="Times New Roman"/>
                <w:snapToGrid w:val="0"/>
                <w:sz w:val="21"/>
                <w:szCs w:val="21"/>
              </w:rPr>
              <w:t>1</w:t>
            </w:r>
          </w:p>
        </w:tc>
        <w:tc>
          <w:tcPr>
            <w:tcW w:w="552" w:type="pct"/>
            <w:vMerge w:val="restart"/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2025年度苏州市宗教团体部门联合双随机检查任务</w:t>
            </w:r>
          </w:p>
        </w:tc>
        <w:tc>
          <w:tcPr>
            <w:tcW w:w="331" w:type="pct"/>
            <w:vMerge w:val="restart"/>
            <w:vAlign w:val="center"/>
          </w:tcPr>
          <w:p>
            <w:pPr>
              <w:spacing w:line="280" w:lineRule="exact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eastAsia="zh-CN"/>
              </w:rPr>
              <w:t>宗教团体</w:t>
            </w:r>
          </w:p>
        </w:tc>
        <w:tc>
          <w:tcPr>
            <w:tcW w:w="376" w:type="pct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  <w:t>发起部门</w:t>
            </w:r>
          </w:p>
        </w:tc>
        <w:tc>
          <w:tcPr>
            <w:tcW w:w="623" w:type="pct"/>
            <w:tcBorders>
              <w:lef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eastAsia="zh-CN"/>
              </w:rPr>
              <w:t>市民宗局</w:t>
            </w:r>
          </w:p>
        </w:tc>
        <w:tc>
          <w:tcPr>
            <w:tcW w:w="1436" w:type="pct"/>
            <w:vAlign w:val="center"/>
          </w:tcPr>
          <w:p>
            <w:pPr>
              <w:spacing w:line="280" w:lineRule="exact"/>
              <w:jc w:val="both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对宗教团体内部管理及履职情况的行政检查</w:t>
            </w:r>
          </w:p>
        </w:tc>
        <w:tc>
          <w:tcPr>
            <w:tcW w:w="433" w:type="pct"/>
            <w:vMerge w:val="restart"/>
            <w:vAlign w:val="center"/>
          </w:tcPr>
          <w:p>
            <w:pPr>
              <w:spacing w:line="280" w:lineRule="exact"/>
              <w:ind w:right="-67" w:rightChars="-32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eastAsia="zh-CN"/>
              </w:rPr>
              <w:t>宗教团体</w:t>
            </w:r>
          </w:p>
        </w:tc>
        <w:tc>
          <w:tcPr>
            <w:tcW w:w="382" w:type="pct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eastAsia="zh-CN"/>
              </w:rPr>
              <w:t>现场检查</w:t>
            </w:r>
          </w:p>
        </w:tc>
        <w:tc>
          <w:tcPr>
            <w:tcW w:w="352" w:type="pct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default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10%</w:t>
            </w:r>
          </w:p>
        </w:tc>
        <w:tc>
          <w:tcPr>
            <w:tcW w:w="344" w:type="pct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市级</w:t>
            </w:r>
          </w:p>
          <w:p>
            <w:pPr>
              <w:spacing w:line="280" w:lineRule="exact"/>
              <w:rPr>
                <w:rFonts w:hint="default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县级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" w:type="pct"/>
            <w:vMerge w:val="continue"/>
            <w:vAlign w:val="center"/>
          </w:tcPr>
          <w:p>
            <w:pPr>
              <w:pStyle w:val="2"/>
              <w:spacing w:line="28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1"/>
                <w:szCs w:val="21"/>
              </w:rPr>
            </w:pPr>
          </w:p>
        </w:tc>
        <w:tc>
          <w:tcPr>
            <w:tcW w:w="552" w:type="pct"/>
            <w:vMerge w:val="continue"/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31" w:type="pct"/>
            <w:vMerge w:val="continue"/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76" w:type="pct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  <w:r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  <w:t>参与部门</w:t>
            </w:r>
          </w:p>
        </w:tc>
        <w:tc>
          <w:tcPr>
            <w:tcW w:w="623" w:type="pct"/>
            <w:tcBorders>
              <w:lef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eastAsia="zh-CN"/>
              </w:rPr>
              <w:t>市民政局</w:t>
            </w:r>
          </w:p>
        </w:tc>
        <w:tc>
          <w:tcPr>
            <w:tcW w:w="1436" w:type="pct"/>
            <w:vAlign w:val="center"/>
          </w:tcPr>
          <w:p>
            <w:pPr>
              <w:spacing w:line="280" w:lineRule="exact"/>
              <w:jc w:val="both"/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kern w:val="0"/>
                <w:szCs w:val="21"/>
                <w:lang w:val="en-US" w:eastAsia="zh-CN"/>
              </w:rPr>
              <w:t>对社会组织依法开展活动情况的行政检查</w:t>
            </w:r>
          </w:p>
        </w:tc>
        <w:tc>
          <w:tcPr>
            <w:tcW w:w="433" w:type="pct"/>
            <w:vMerge w:val="continue"/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82" w:type="pct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52" w:type="pct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44" w:type="pct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" w:type="pct"/>
            <w:vAlign w:val="center"/>
          </w:tcPr>
          <w:p>
            <w:pPr>
              <w:pStyle w:val="2"/>
              <w:spacing w:line="28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1"/>
                <w:szCs w:val="21"/>
              </w:rPr>
            </w:pPr>
          </w:p>
        </w:tc>
        <w:tc>
          <w:tcPr>
            <w:tcW w:w="552" w:type="pct"/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31" w:type="pct"/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76" w:type="pct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623" w:type="pct"/>
            <w:tcBorders>
              <w:lef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1436" w:type="pct"/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433" w:type="pct"/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82" w:type="pct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52" w:type="pct"/>
            <w:tcBorders>
              <w:lef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44" w:type="pct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" w:type="pct"/>
            <w:vAlign w:val="center"/>
          </w:tcPr>
          <w:p>
            <w:pPr>
              <w:pStyle w:val="2"/>
              <w:spacing w:line="28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1"/>
                <w:szCs w:val="21"/>
              </w:rPr>
            </w:pPr>
          </w:p>
        </w:tc>
        <w:tc>
          <w:tcPr>
            <w:tcW w:w="552" w:type="pct"/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31" w:type="pct"/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76" w:type="pct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623" w:type="pct"/>
            <w:tcBorders>
              <w:lef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1436" w:type="pct"/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433" w:type="pct"/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82" w:type="pct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52" w:type="pct"/>
            <w:tcBorders>
              <w:lef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  <w:tc>
          <w:tcPr>
            <w:tcW w:w="344" w:type="pct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65" w:type="pct"/>
            <w:vAlign w:val="center"/>
          </w:tcPr>
          <w:p>
            <w:pPr>
              <w:pStyle w:val="2"/>
              <w:spacing w:line="280" w:lineRule="exact"/>
              <w:jc w:val="center"/>
              <w:rPr>
                <w:rFonts w:ascii="Times New Roman" w:hAnsi="Times New Roman" w:eastAsia="方正仿宋_GBK" w:cs="Times New Roman"/>
                <w:snapToGrid w:val="0"/>
                <w:sz w:val="21"/>
                <w:szCs w:val="21"/>
              </w:rPr>
            </w:pPr>
            <w:r>
              <w:rPr>
                <w:rFonts w:hint="eastAsia" w:ascii="方正仿宋_GBK" w:hAnsi="Times New Roman" w:eastAsia="方正仿宋_GBK" w:cs="Times New Roman"/>
                <w:snapToGrid w:val="0"/>
                <w:sz w:val="28"/>
                <w:szCs w:val="28"/>
              </w:rPr>
              <w:t>备注</w:t>
            </w:r>
          </w:p>
        </w:tc>
        <w:tc>
          <w:tcPr>
            <w:tcW w:w="4834" w:type="pct"/>
            <w:gridSpan w:val="9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Times New Roman" w:hAnsi="Times New Roman" w:eastAsia="方正仿宋_GBK" w:cs="Times New Roman"/>
                <w:snapToGrid w:val="0"/>
                <w:kern w:val="0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napToGrid w:val="0"/>
                <w:sz w:val="21"/>
                <w:szCs w:val="21"/>
                <w:lang w:val="en-US" w:eastAsia="zh-CN"/>
              </w:rPr>
              <w:t>.规范任务名称表述，若是跨部门综合监管事项，建议使用“2025年度苏州市***跨部门综合监管任务”；若是部门联合双随机监管，建议使用“2025年度苏州市***部门联合双随机检查任务”；若是根据上级部署开展的专项（或者重点）检查，建议使用“2025年度苏州市***部门联合专项（或者重点）检查任务”。</w:t>
            </w:r>
          </w:p>
        </w:tc>
      </w:tr>
    </w:tbl>
    <w:p/>
    <w:sectPr>
      <w:footerReference r:id="rId3" w:type="default"/>
      <w:pgSz w:w="16839" w:h="11907"/>
      <w:pgMar w:top="400" w:right="1020" w:bottom="1267" w:left="1020" w:header="0" w:footer="98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4" w:lineRule="auto"/>
      <w:ind w:left="26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18"/>
        <w:sz w:val="28"/>
        <w:szCs w:val="28"/>
      </w:rPr>
      <w:t>—</w:t>
    </w:r>
    <w:r>
      <w:rPr>
        <w:rFonts w:ascii="宋体" w:hAnsi="宋体" w:eastAsia="宋体" w:cs="宋体"/>
        <w:spacing w:val="16"/>
        <w:sz w:val="28"/>
        <w:szCs w:val="28"/>
      </w:rPr>
      <w:t xml:space="preserve"> 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733706"/>
    <w:rsid w:val="5E0846D1"/>
    <w:rsid w:val="6FA796C8"/>
    <w:rsid w:val="8239B63F"/>
    <w:rsid w:val="C59F6EF2"/>
    <w:rsid w:val="CB7EACD6"/>
    <w:rsid w:val="F7BF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391</Words>
  <Characters>419</Characters>
  <Lines>0</Lines>
  <Paragraphs>0</Paragraphs>
  <TotalTime>5</TotalTime>
  <ScaleCrop>false</ScaleCrop>
  <LinksUpToDate>false</LinksUpToDate>
  <CharactersWithSpaces>475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2024-12-17T06:07:00Z</dcterms:created>
  <dc:creator>admin</dc:creator>
  <cp:lastModifiedBy>sugou</cp:lastModifiedBy>
  <dcterms:modified xsi:type="dcterms:W3CDTF">2025-08-05T13:41:43Z</dcterms:modified>
  <dc:title>附件3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  <property fmtid="{D5CDD505-2E9C-101B-9397-08002B2CF9AE}" pid="3" name="ICV">
    <vt:lpwstr>49366539FA504A52BE651CFDC5E19958_12</vt:lpwstr>
  </property>
</Properties>
</file>